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Квота</w:t>
      </w:r>
      <w:r>
        <w:rPr>
          <w:rFonts w:ascii="Arial Narrow" w:hAnsi="Arial Narrow"/>
          <w:b/>
          <w:sz w:val="28"/>
          <w:szCs w:val="28"/>
        </w:rPr>
        <w:t xml:space="preserve"> приема </w:t>
      </w:r>
      <w:r>
        <w:rPr>
          <w:rFonts w:ascii="Arial Narrow" w:hAnsi="Arial Narrow"/>
          <w:b/>
          <w:sz w:val="28"/>
          <w:szCs w:val="28"/>
        </w:rPr>
        <w:t xml:space="preserve">на целевое обучение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на </w:t>
      </w:r>
      <w:r>
        <w:rPr>
          <w:rFonts w:ascii="Arial Narrow" w:hAnsi="Arial Narrow"/>
          <w:b/>
          <w:sz w:val="28"/>
          <w:szCs w:val="28"/>
        </w:rPr>
        <w:t xml:space="preserve">программы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  <w:u w:val="single"/>
        </w:rPr>
        <w:t xml:space="preserve">БАКАЛАВРИАТА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и </w:t>
      </w:r>
      <w:r>
        <w:rPr>
          <w:rFonts w:ascii="Arial Narrow" w:hAnsi="Arial Narrow"/>
          <w:b/>
          <w:sz w:val="28"/>
          <w:szCs w:val="28"/>
          <w:u w:val="single"/>
        </w:rPr>
        <w:t xml:space="preserve">СПЕЦИАЛИТЕТА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  <w:lang w:val="en-US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в  202</w:t>
      </w:r>
      <w:r>
        <w:rPr>
          <w:rFonts w:ascii="Arial Narrow" w:hAnsi="Arial Narrow"/>
          <w:b/>
          <w:sz w:val="28"/>
          <w:szCs w:val="28"/>
          <w:lang w:val="en-US"/>
        </w:rPr>
        <w:t xml:space="preserve">5</w:t>
      </w:r>
      <w:r>
        <w:rPr>
          <w:rFonts w:ascii="Arial Narrow" w:hAnsi="Arial Narrow"/>
          <w:b/>
          <w:sz w:val="28"/>
          <w:szCs w:val="28"/>
        </w:rPr>
        <w:t xml:space="preserve"> г.     </w:t>
      </w: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Очная форма </w:t>
      </w: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</w:p>
    <w:tbl>
      <w:tblPr>
        <w:tblW w:w="15865" w:type="dxa"/>
        <w:tblInd w:w="-8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5031"/>
        <w:gridCol w:w="1276"/>
        <w:gridCol w:w="1417"/>
        <w:gridCol w:w="7087"/>
      </w:tblGrid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Код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Наименование направления подготовки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Квота для приема на целевое обучение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Детализи-рованная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целевая квота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t xml:space="preserve">Наименование заказчика,</w:t>
              <w:br/>
              <w:t xml:space="preserve">реквизиты (ОГРН, ИНН, КПП)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02.03.01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Математика и компьютерные науки:  профиль «Математический анализ и компьютерные науки»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Ики-Бурульского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1020800670780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0802004088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080201001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Управления образованием администрации Яшкульского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1020800733800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0813900390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081301001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ГОРОДОВИКОВСКОГО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1020800507683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0801904294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080101001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8"/>
              <w:ind w:left="0" w:right="0" w:firstLine="0"/>
              <w:jc w:val="center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03.02.02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pStyle w:val="838"/>
              <w:ind w:left="0" w:right="0" w:firstLine="0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Физика:  профиль «</w:t>
            </w:r>
            <w:r>
              <w:rPr>
                <w:rFonts w:ascii="Arial Narrow" w:hAnsi="Arial Narrow"/>
                <w:sz w:val="24"/>
                <w:szCs w:val="24"/>
              </w:rPr>
              <w:t xml:space="preserve">Медицинская физика»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 w:eastAsia="Calibri"/>
                <w:i w:val="0"/>
                <w:sz w:val="24"/>
                <w:szCs w:val="24"/>
              </w:rPr>
              <w:t xml:space="preserve">04.03.01</w:t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Химия: профиль «</w:t>
            </w:r>
            <w:r>
              <w:rPr>
                <w:rFonts w:ascii="Arial Narrow" w:hAnsi="Arial Narrow"/>
                <w:sz w:val="24"/>
                <w:szCs w:val="24"/>
              </w:rPr>
              <w:t xml:space="preserve">Нефтехимия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eastAsia="Calibri"/>
                <w:sz w:val="24"/>
                <w:szCs w:val="24"/>
                <w:u w:val="none"/>
              </w:rPr>
            </w:pPr>
            <w:r>
              <w:rPr>
                <w:rStyle w:val="840"/>
                <w:rFonts w:ascii="Arial Narrow" w:hAnsi="Arial Narrow" w:eastAsia="Calibri"/>
                <w:sz w:val="24"/>
                <w:szCs w:val="24"/>
                <w:u w:val="none"/>
              </w:rPr>
              <w:t xml:space="preserve">06.03.01</w:t>
            </w:r>
            <w:r>
              <w:rPr>
                <w:rFonts w:ascii="Arial Narrow" w:hAnsi="Arial Narrow" w:eastAsia="Calibri"/>
                <w:sz w:val="24"/>
                <w:szCs w:val="24"/>
                <w:u w:val="none"/>
              </w:rPr>
            </w:r>
            <w:r>
              <w:rPr>
                <w:rFonts w:ascii="Arial Narrow" w:hAnsi="Arial Narrow" w:eastAsia="Calibri"/>
                <w:sz w:val="24"/>
                <w:szCs w:val="24"/>
                <w:u w:val="none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both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eastAsia="Calibri"/>
                <w:sz w:val="24"/>
                <w:szCs w:val="24"/>
                <w:u w:val="none"/>
              </w:rPr>
            </w:pPr>
            <w:r>
              <w:rPr>
                <w:rStyle w:val="840"/>
                <w:rFonts w:ascii="Arial Narrow" w:hAnsi="Arial Narrow" w:eastAsia="Calibri"/>
                <w:sz w:val="24"/>
                <w:szCs w:val="24"/>
                <w:u w:val="none"/>
              </w:rPr>
              <w:t xml:space="preserve">Биология: профиль «</w:t>
            </w:r>
            <w:r>
              <w:rPr>
                <w:rStyle w:val="840"/>
                <w:rFonts w:ascii="Arial Narrow" w:hAnsi="Arial Narrow" w:eastAsia="Calibri"/>
                <w:sz w:val="24"/>
                <w:szCs w:val="24"/>
                <w:u w:val="none"/>
              </w:rPr>
              <w:t xml:space="preserve">Биоэкология</w:t>
            </w:r>
            <w:r>
              <w:rPr>
                <w:rStyle w:val="840"/>
                <w:rFonts w:ascii="Arial Narrow" w:hAnsi="Arial Narrow" w:eastAsia="Calibri"/>
                <w:sz w:val="24"/>
                <w:szCs w:val="24"/>
                <w:u w:val="none"/>
              </w:rPr>
              <w:t xml:space="preserve">» </w:t>
            </w:r>
            <w:r>
              <w:rPr>
                <w:rFonts w:ascii="Arial Narrow" w:hAnsi="Arial Narrow" w:eastAsia="Calibri"/>
                <w:sz w:val="24"/>
                <w:szCs w:val="24"/>
                <w:u w:val="none"/>
              </w:rPr>
            </w:r>
            <w:r>
              <w:rPr>
                <w:rFonts w:ascii="Arial Narrow" w:hAnsi="Arial Narrow" w:eastAsia="Calibri"/>
                <w:sz w:val="24"/>
                <w:szCs w:val="24"/>
                <w:u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Управления образованием администрации Яшкульского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1020800733800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0813900390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081301001</w:t>
            </w:r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 w:eastAsia="Calibri"/>
                <w:i w:val="0"/>
                <w:sz w:val="24"/>
                <w:szCs w:val="24"/>
              </w:rPr>
              <w:t xml:space="preserve">08.03.01</w:t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  <w:iCs/>
                <w:spacing w:val="-4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Строительство: профиль «Промышленное и гражданское строительство» </w:t>
            </w:r>
            <w:r>
              <w:rPr>
                <w:rFonts w:ascii="Arial Narrow" w:hAnsi="Arial Narrow"/>
                <w:iCs/>
                <w:spacing w:val="-4"/>
              </w:rPr>
            </w:r>
            <w:r>
              <w:rPr>
                <w:rFonts w:ascii="Arial Narrow" w:hAnsi="Arial Narrow"/>
                <w:iCs/>
                <w:spacing w:val="-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vMerge w:val="restart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 w:eastAsia="Calibri"/>
                <w:i w:val="0"/>
                <w:sz w:val="24"/>
                <w:szCs w:val="24"/>
              </w:rPr>
              <w:t xml:space="preserve">10.03.01</w:t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</w:p>
        </w:tc>
        <w:tc>
          <w:tcPr>
            <w:tcW w:w="5031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7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Информационная безопасность: «Организация и технологии защиты информации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отрасли или сфере профессиональной деятельности)»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8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vMerge w:val="restart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 w:eastAsia="Calibri"/>
                <w:i w:val="0"/>
                <w:sz w:val="24"/>
                <w:szCs w:val="24"/>
              </w:rPr>
              <w:t xml:space="preserve">20.03.01</w:t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</w:p>
        </w:tc>
        <w:tc>
          <w:tcPr>
            <w:tcW w:w="503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  <w:iCs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Техносферная безопасность: «Инженерная защита окружающей среды»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35.03.04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Агрономия: профиль «Агрономия»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35.03.06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Агроинженерия</w:t>
            </w:r>
            <w:r>
              <w:rPr>
                <w:rFonts w:ascii="Arial Narrow" w:hAnsi="Arial Narrow"/>
                <w:sz w:val="24"/>
                <w:szCs w:val="24"/>
              </w:rPr>
              <w:t xml:space="preserve">: профиль «Электроснабжение и механизация в </w:t>
            </w:r>
            <w:r>
              <w:rPr>
                <w:rFonts w:ascii="Arial Narrow" w:hAnsi="Arial Narrow"/>
                <w:sz w:val="24"/>
                <w:szCs w:val="24"/>
              </w:rPr>
              <w:t xml:space="preserve">агробизнесе</w:t>
            </w:r>
            <w:r>
              <w:rPr>
                <w:rFonts w:ascii="Arial Narrow" w:hAnsi="Arial Narrow"/>
                <w:sz w:val="24"/>
                <w:szCs w:val="24"/>
              </w:rPr>
              <w:t xml:space="preserve">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35.03.07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Технология производства и переработки сельскохозяйственной продукции: профиль  «Технология пищевых производств в АПК»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36.03.02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503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Зоотехния: «Зооинжиниринг 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IT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-технологии в животноводстве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Arial Narrow" w:hAnsi="Arial Narrow"/>
                <w:sz w:val="24"/>
                <w:szCs w:val="24"/>
                <w:highlight w:val="yellow"/>
              </w:rPr>
            </w:r>
            <w:r>
              <w:rPr>
                <w:rFonts w:ascii="Arial Narrow" w:hAnsi="Arial Narrow"/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33.05.01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503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Фармация: «Фармация»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36.05.01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Ветеринария: специализация «Ветеринария»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eastAsia="Times New Roman"/>
                <w:bCs/>
              </w:rPr>
            </w:pPr>
            <w:r>
              <w:rPr>
                <w:rFonts w:ascii="Arial Narrow" w:hAnsi="Arial Narrow" w:eastAsia="Times New Roman"/>
                <w:bCs/>
                <w:sz w:val="24"/>
                <w:szCs w:val="24"/>
                <w:lang w:eastAsia="ru-RU"/>
              </w:rPr>
              <w:t xml:space="preserve">38.03.01</w:t>
            </w:r>
            <w:r>
              <w:rPr>
                <w:rFonts w:ascii="Arial Narrow" w:hAnsi="Arial Narrow" w:eastAsia="Times New Roman"/>
                <w:bCs/>
              </w:rPr>
            </w:r>
            <w:r>
              <w:rPr>
                <w:rFonts w:ascii="Arial Narrow" w:hAnsi="Arial Narrow" w:eastAsia="Times New Roman"/>
                <w:bCs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 w:eastAsia="Times New Roman"/>
                <w:bCs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Экономика: профиль «Экономика предприятий и организаций»</w:t>
            </w:r>
            <w:r>
              <w:rPr>
                <w:rFonts w:ascii="Arial Narrow" w:hAnsi="Arial Narrow" w:eastAsia="Times New Roman"/>
                <w:bCs/>
              </w:rPr>
            </w:r>
            <w:r>
              <w:rPr>
                <w:rFonts w:ascii="Arial Narrow" w:hAnsi="Arial Narrow" w:eastAsia="Times New Roman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</w:r>
            <w:r>
              <w:rPr>
                <w:rFonts w:ascii="Arial Narrow" w:hAnsi="Arial Narrow"/>
                <w:highlight w:val="yellow"/>
              </w:rPr>
            </w:r>
            <w:r>
              <w:rPr>
                <w:rFonts w:ascii="Arial Narrow" w:hAnsi="Arial Narrow"/>
                <w:highlight w:val="yellow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highlight w:val="yellow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rFonts w:ascii="Arial" w:hAnsi="Arial" w:eastAsia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highlight w:val="none"/>
              </w:rPr>
            </w:r>
            <w:r>
              <w:rPr>
                <w:rFonts w:ascii="Arial" w:hAnsi="Arial" w:eastAsia="Arial" w:cs="Arial"/>
                <w:color w:val="0f4c81"/>
                <w:sz w:val="18"/>
                <w:highlight w:val="none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rFonts w:ascii="Arial" w:hAnsi="Arial" w:eastAsia="Arial" w:cs="Arial"/>
                <w:color w:val="0f4c81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>
              <w:rPr>
                <w:rFonts w:ascii="Arial" w:hAnsi="Arial" w:eastAsia="Arial" w:cs="Arial"/>
                <w:color w:val="0f4c81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38.03.01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Экономика: профиль «Бухгалтерский учет, анализ и аудит»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38.03.02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Менеджмент: профиль «Финансовый менеджмент»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38.03.04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Государственное и муниципальное управление: профиль «Управление территориальным развитием»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38.03.05</w: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  <w:i/>
              </w:rPr>
            </w:pP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Бизнес-информатика: профиль «Электронный бизнес»</w:t>
            </w:r>
            <w:r>
              <w:rPr>
                <w:rFonts w:ascii="Arial Narrow" w:hAnsi="Arial Narrow"/>
                <w:i/>
              </w:rPr>
            </w:r>
            <w:r>
              <w:rPr>
                <w:rFonts w:ascii="Arial Narrow" w:hAnsi="Arial Narrow"/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40.03.01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Юриспруденция: профиль «Гражданско-правовой»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1</w:t>
            </w:r>
            <w:r/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УФССП России по Республике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1040866732664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0814163082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44.03.01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Педагогическое образование: профиль «</w:t>
            </w: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Преподавание физики</w:t>
            </w:r>
            <w:r>
              <w:rPr>
                <w:rFonts w:ascii="Arial Narrow" w:hAnsi="Arial Narrow"/>
                <w:sz w:val="24"/>
                <w:szCs w:val="24"/>
              </w:rPr>
              <w:t xml:space="preserve">»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Ики-Бурульского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1020800670780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0802004088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080201001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и культуры Администрации Кетченеровского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1030800579590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0804007768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081701001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Управления образованием администрации Яшкульского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1020800733800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0813900390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081301001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Малодербетовского районного муниципального образования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1160816050141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0817001890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081701001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Октябрьского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1020800597432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0806900053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081701001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образованием Администрации Лаганского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1070803000201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0813004876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080301001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ГОРОДОВИКОВСКОГО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1020800507683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0801904294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080101001</w:t>
            </w:r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eastAsia="Calibri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44.03.02</w:t>
            </w:r>
            <w:r>
              <w:rPr>
                <w:rFonts w:ascii="Arial Narrow" w:hAnsi="Arial Narrow" w:eastAsia="Calibri"/>
                <w:sz w:val="24"/>
                <w:szCs w:val="24"/>
              </w:rPr>
            </w:r>
            <w:r>
              <w:rPr>
                <w:rFonts w:ascii="Arial Narrow" w:hAnsi="Arial Narrow" w:eastAsia="Calibri"/>
                <w:sz w:val="24"/>
                <w:szCs w:val="24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pStyle w:val="841"/>
              <w:ind w:left="0" w:right="0" w:firstLine="0"/>
              <w:spacing w:before="0" w:beforeAutospacing="0" w:after="0" w:afterAutospacing="0"/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Психолого-педагогическое образование: профиль «Педагог-психолог»</w:t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  <w:r>
              <w:rPr>
                <w:rFonts w:ascii="Arial Narrow" w:hAnsi="Arial Narrow" w:eastAsia="Calibri"/>
                <w:i w:val="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Малодербетовского районного муниципального образования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1160816050141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0817001890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081701001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Октябрьского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1020800597432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0806900053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081701001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ГОРОДОВИКОВСКОГО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1020800507683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0801904294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080101001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44.03.04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pStyle w:val="841"/>
              <w:ind w:left="0" w:right="0" w:firstLine="0"/>
              <w:spacing w:before="0" w:beforeAutospacing="0" w:after="0" w:afterAutospacing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Профессиональное обучение (по отраслям): профиль «Дизайн и технология художественной  обработки материалов»</w: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44.03.05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  <w:spacing w:val="-4"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Педагогическое образование с двумя профилями подготовки: 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профиль  «</w:t>
            </w: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Калмыцкий язык и литература, китайский язык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Arial Narrow" w:hAnsi="Arial Narrow"/>
                <w:spacing w:val="-4"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  <w:spacing w:val="-4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8</w:t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22</w:t>
            </w:r>
            <w:r>
              <w:rPr>
                <w:rFonts w:ascii="Arial Narrow" w:hAnsi="Arial Narrow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Отдел образования и культуры Администрации Кетченеровского районного муниципального образования Республики Калмыкия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ОГРН: 1030800579590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ИНН: 0804007768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КПП: 081701001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Управления образованием администрации Яшкульского районного муниципального образования Республики Калмыкия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ОГРН: 1020800733800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ИНН: 0813900390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КПП: 081301001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Отдел образования администрации Малодербетовского районного муниципального образования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ОГРН: 1160816050141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ИНН: 0817001890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КПП: 081701001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УПРАВЛЕНИЕ ОБРАЗОВАНИЯ АДМИНИСТРАЦИИ ГОРОДА ЭЛИСТЫ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ОГРН: 1020800769461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ИНН: 0814098556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КПП: 081601001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ОТДЕЛ ОБРАЗОВАНИЯ АДМИНИСТРАЦИИ САРПИНСКОГО РАЙОННОГО МУНИЦИПАЛЬНОГО ОБРАЗОВАНИЯ РЕСПУБЛИКИ КАЛМЫКИЯ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ОГРН: 1130817000027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ИНН: 0817001146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КПП: 080801001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Отдел образования Администрации Черноземельского районного муниципального образования Республики Калмыкия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ОГРН: 1020800566863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ИНН: 0810900289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КПП: 081001001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Отдел образования Администрации Яшалтинского районного муниципального образования Республики Калмыкия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ОГРН: 1030800509222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ИНН: 0812900164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 xml:space="preserve">КПП: 081201001</w:t>
            </w:r>
            <w:r>
              <w:rPr>
                <w:sz w:val="18"/>
                <w:szCs w:val="18"/>
              </w:rPr>
            </w:r>
            <w:r>
              <w:rPr>
                <w:szCs w:val="18"/>
              </w:rPr>
            </w:r>
          </w:p>
        </w:tc>
      </w:tr>
      <w:tr>
        <w:tblPrEx/>
        <w:trPr/>
        <w:tc>
          <w:tcPr>
            <w:tcW w:w="105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44.03.05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503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  <w:spacing w:val="-4"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Педагогическое образование с двумя профилями подготовки: 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профиль  «</w:t>
            </w: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Корейский язык, русский язык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Arial Narrow" w:hAnsi="Arial Narrow"/>
                <w:spacing w:val="-4"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  <w:spacing w:val="-4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7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5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44.03.05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503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Педагогическое образование с двумя профилями подготовки: 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профиль  «</w:t>
            </w: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Право и физическая культура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eastAsia="Calibri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45.03.01</w:t>
            </w:r>
            <w:r>
              <w:rPr>
                <w:rFonts w:ascii="Arial Narrow" w:hAnsi="Arial Narrow" w:eastAsia="Calibri"/>
                <w:sz w:val="24"/>
                <w:szCs w:val="24"/>
              </w:rPr>
            </w:r>
            <w:r>
              <w:rPr>
                <w:rFonts w:ascii="Arial Narrow" w:hAnsi="Arial Narrow" w:eastAsia="Calibri"/>
                <w:sz w:val="24"/>
                <w:szCs w:val="24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Филология: профиль "Отечественная филология (русский язык и литература)"</w:t>
            </w:r>
            <w:r>
              <w:rPr>
                <w:rFonts w:ascii="Arial Narrow" w:hAnsi="Arial Narrow"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  <w:bCs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highlight w:val="white"/>
              </w:rPr>
            </w:pPr>
            <w:r>
              <w:rPr>
                <w:rFonts w:ascii="Arial Narrow" w:hAnsi="Arial Narrow"/>
                <w:highlight w:val="none"/>
                <w:lang w:val="en-US"/>
              </w:rPr>
              <w:t xml:space="preserve">5</w:t>
            </w:r>
            <w:r>
              <w:rPr>
                <w:rFonts w:ascii="Arial Narrow" w:hAnsi="Arial Narrow"/>
                <w:highlight w:val="white"/>
                <w:lang w:val="en-US"/>
              </w:rPr>
            </w:r>
            <w:r>
              <w:rPr>
                <w:rFonts w:ascii="Arial Narrow" w:hAnsi="Arial Narrow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Arial Narrow" w:hAnsi="Arial Narrow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Arial Narrow" w:hAnsi="Arial Narrow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Arial Narrow" w:hAnsi="Arial Narrow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rFonts w:ascii="Arial" w:hAnsi="Arial" w:eastAsia="Arial" w:cs="Arial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  <w:highlight w:val="none"/>
              </w:rPr>
            </w:r>
            <w:r>
              <w:rPr>
                <w:rFonts w:ascii="Arial" w:hAnsi="Arial" w:eastAsia="Arial" w:cs="Arial"/>
                <w:color w:val="0f4c81"/>
                <w:sz w:val="18"/>
                <w:highlight w:val="none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rPr>
                <w:rFonts w:ascii="Arial" w:hAnsi="Arial" w:eastAsia="Arial" w:cs="Arial"/>
                <w:color w:val="0f4c81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САРПИНСКОГО РАЙОННОГО МУНИЦИПАЛЬНОГО ОБРАЗОВАНИЯ РЕСПУБЛИКИ КАЛМЫКИЯ</w:t>
            </w:r>
            <w:r>
              <w:rPr>
                <w:rFonts w:ascii="Arial" w:hAnsi="Arial" w:eastAsia="Arial" w:cs="Arial"/>
                <w:color w:val="0f4c81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1130817000027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0817001146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080801001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Управления образованием администрации Яшкульского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1020800733800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0813900390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081301001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45.03.01</w:t>
            </w:r>
            <w:r>
              <w:rPr>
                <w:rFonts w:ascii="Arial Narrow" w:hAnsi="Arial Narrow"/>
                <w:i w:val="0"/>
                <w:sz w:val="24"/>
                <w:szCs w:val="24"/>
              </w:rPr>
            </w:r>
            <w:r>
              <w:rPr>
                <w:rFonts w:ascii="Arial Narrow" w:hAnsi="Arial Narrow"/>
                <w:i w:val="0"/>
                <w:sz w:val="24"/>
                <w:szCs w:val="24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Филология: профиль «Восточные языки»</w: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2</w:t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eastAsia="Calibri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45.03.02</w:t>
            </w:r>
            <w:r>
              <w:rPr>
                <w:rFonts w:ascii="Arial Narrow" w:hAnsi="Arial Narrow" w:eastAsia="Calibri"/>
                <w:sz w:val="24"/>
                <w:szCs w:val="24"/>
              </w:rPr>
            </w:r>
            <w:r>
              <w:rPr>
                <w:rFonts w:ascii="Arial Narrow" w:hAnsi="Arial Narrow" w:eastAsia="Calibri"/>
                <w:sz w:val="24"/>
                <w:szCs w:val="24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Лингвистика: профиль «Перевод и </w:t>
            </w: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переводоведение</w:t>
            </w:r>
            <w:r>
              <w:rPr>
                <w:rStyle w:val="840"/>
                <w:rFonts w:ascii="Arial Narrow" w:hAnsi="Arial Narrow"/>
                <w:i w:val="0"/>
                <w:sz w:val="24"/>
                <w:szCs w:val="24"/>
                <w:u w:val="none"/>
              </w:rPr>
              <w:t xml:space="preserve">»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5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46.03.01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both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История: профиль «История»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Ики-Бурульского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1020800670780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0802004088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080201001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САРПИНСКОГО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1130817000027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0817001146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080801001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Управления образованием администрации Яшкульского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1020800733800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0813900390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081301001</w:t>
            </w:r>
            <w:r/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46.03.02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both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Документоведение и архивоведение: профиль «Документоведение и архивоведение»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1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W w:w="1055" w:type="dxa"/>
            <w:vMerge w:val="restart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58.03.01</w:t>
            </w:r>
            <w:r>
              <w:rPr>
                <w:rFonts w:ascii="Arial Narrow" w:hAnsi="Arial Narrow"/>
                <w:i w:val="0"/>
                <w:sz w:val="24"/>
                <w:szCs w:val="24"/>
              </w:rPr>
            </w:r>
            <w:r>
              <w:rPr>
                <w:rFonts w:ascii="Arial Narrow" w:hAnsi="Arial Narrow"/>
                <w:i w:val="0"/>
                <w:sz w:val="24"/>
                <w:szCs w:val="24"/>
              </w:rPr>
            </w:r>
          </w:p>
        </w:tc>
        <w:tc>
          <w:tcPr>
            <w:tcW w:w="5031" w:type="dxa"/>
            <w:vMerge w:val="restart"/>
            <w:textDirection w:val="lrTb"/>
            <w:noWrap w:val="false"/>
          </w:tcPr>
          <w:p>
            <w:pPr>
              <w:pStyle w:val="839"/>
              <w:ind w:left="0" w:right="0" w:firstLine="0"/>
              <w:jc w:val="both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Востоковедение и африканистика: «Профессиональная коммуникация в сфере внешнеэкономической деятельности со странами Восточной Азии»</w:t>
            </w:r>
            <w:r>
              <w:rPr>
                <w:rFonts w:ascii="Arial Narrow" w:hAnsi="Arial Narrow"/>
                <w:i w:val="0"/>
                <w:sz w:val="24"/>
                <w:szCs w:val="24"/>
              </w:rPr>
            </w:r>
            <w:r>
              <w:rPr>
                <w:rFonts w:ascii="Arial Narrow" w:hAnsi="Arial Narrow"/>
                <w:i w:val="0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055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</w:r>
            <w:r>
              <w:rPr>
                <w:rFonts w:ascii="Arial Narrow" w:hAnsi="Arial Narrow"/>
                <w:i w:val="0"/>
                <w:sz w:val="24"/>
                <w:szCs w:val="24"/>
              </w:rPr>
            </w:r>
            <w:r>
              <w:rPr>
                <w:rFonts w:ascii="Arial Narrow" w:hAnsi="Arial Narrow"/>
                <w:i w:val="0"/>
                <w:sz w:val="24"/>
                <w:szCs w:val="24"/>
              </w:rPr>
            </w:r>
          </w:p>
        </w:tc>
        <w:tc>
          <w:tcPr>
            <w:tcW w:w="503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ВСЕГО</w: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130</w: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</w:tbl>
    <w:p>
      <w:pPr>
        <w:jc w:val="left"/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Заочная форма </w:t>
      </w: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</w:r>
    </w:p>
    <w:tbl>
      <w:tblPr>
        <w:tblW w:w="15865" w:type="dxa"/>
        <w:tblInd w:w="-8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5686"/>
        <w:gridCol w:w="1203"/>
        <w:gridCol w:w="1203"/>
        <w:gridCol w:w="6506"/>
      </w:tblGrid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Код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Наименование направления подготовки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Квота для приема на целевое обучение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t xml:space="preserve">Детализи-рованная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целевая квота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</w:tc>
        <w:tc>
          <w:tcPr>
            <w:tcW w:w="6506" w:type="dxa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t xml:space="preserve">Наименование заказчика,</w:t>
              <w:br/>
              <w:t xml:space="preserve">реквизиты (ОГРН, ИНН, КПП)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</w:tc>
      </w:tr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35.03.04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Агрономия: профиль «Агрономия»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5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</w:tc>
        <w:tc>
          <w:tcPr>
            <w:tcW w:w="6506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35.03.06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Агроинженерия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: профиль «Электроснабжение и механизация в 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агробизнесе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»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6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</w:tc>
        <w:tc>
          <w:tcPr>
            <w:tcW w:w="6506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35.03.07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Технология производства и переработки сельскохозяйственной продукции: профиль  «Технология пищевых производств в АПК»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4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</w:tc>
        <w:tc>
          <w:tcPr>
            <w:tcW w:w="6506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2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36.03.02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tcW w:w="568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Зоотехния: «Зооинжиниринг и </w:t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 xml:space="preserve">IT</w:t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ru-RU"/>
              </w:rPr>
              <w:t xml:space="preserve">-технологии в животноводстве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6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</w:tc>
        <w:tc>
          <w:tcPr>
            <w:tcW w:w="6506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44.03.01</w:t>
            </w:r>
            <w:r>
              <w:rPr>
                <w:rFonts w:ascii="Arial Narrow" w:hAnsi="Arial Narrow" w:cs="Arial Narrow"/>
                <w:b/>
              </w:rPr>
            </w:r>
            <w:r>
              <w:rPr>
                <w:rFonts w:ascii="Arial Narrow" w:hAnsi="Arial Narrow" w:cs="Arial Narrow"/>
                <w:b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 w:eastAsia="Arial Narrow" w:cs="Arial Narrow"/>
                <w:sz w:val="24"/>
                <w:szCs w:val="24"/>
                <w:highlight w:val="none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Педагогическое образование: профиль «Физическая культура»</w:t>
            </w:r>
            <w:r>
              <w:rPr>
                <w:rFonts w:ascii="Arial Narrow" w:hAnsi="Arial Narrow" w:eastAsia="Arial Narrow" w:cs="Arial Narrow"/>
                <w:sz w:val="24"/>
                <w:szCs w:val="24"/>
                <w:highlight w:val="none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highlight w:val="none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  <w:highlight w:val="none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7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bCs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Arial Narrow" w:hAnsi="Arial Narrow" w:eastAsia="Arial Narrow" w:cs="Arial Narrow"/>
                <w:b/>
                <w:bCs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b/>
                <w:bCs/>
                <w:sz w:val="24"/>
                <w:szCs w:val="24"/>
              </w:rPr>
            </w:r>
          </w:p>
        </w:tc>
        <w:tc>
          <w:tcPr>
            <w:tcW w:w="650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Ики-Бурульского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1020800670780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0802004088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080201001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и культуры Администрации Кетченеровского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1030800579590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0804007768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081701001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САРПИНСКОГО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1130817000027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0817001146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080801001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Управления образованием администрации Яшкульского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1020800733800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0813900390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081301001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Октябрьского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1020800597432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0806900053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081701001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ГОРОДОВИКОВСКОГО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1020800507683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0801904294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080101001</w:t>
            </w:r>
            <w:r/>
          </w:p>
        </w:tc>
      </w:tr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44.03.01</w:t>
            </w:r>
            <w:r>
              <w:rPr>
                <w:rFonts w:ascii="Arial Narrow" w:hAnsi="Arial Narrow" w:cs="Arial Narrow"/>
                <w:b/>
              </w:rPr>
            </w:r>
            <w:r>
              <w:rPr>
                <w:rFonts w:ascii="Arial Narrow" w:hAnsi="Arial Narrow" w:cs="Arial Narrow"/>
                <w:b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Педагогическое образование: профиль «</w:t>
            </w:r>
            <w:r>
              <w:rPr>
                <w:rStyle w:val="840"/>
                <w:rFonts w:ascii="Arial Narrow" w:hAnsi="Arial Narrow" w:eastAsia="Arial Narrow" w:cs="Arial Narrow"/>
                <w:i w:val="0"/>
                <w:sz w:val="24"/>
                <w:szCs w:val="24"/>
                <w:u w:val="none"/>
              </w:rPr>
              <w:t xml:space="preserve">Начальное образование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»</w:t>
            </w:r>
            <w:r>
              <w:rPr>
                <w:rFonts w:ascii="Arial Narrow" w:hAnsi="Arial Narrow" w:cs="Arial Narrow"/>
                <w:b/>
              </w:rPr>
            </w:r>
            <w:r>
              <w:rPr>
                <w:rFonts w:ascii="Arial Narrow" w:hAnsi="Arial Narrow" w:cs="Arial Narrow"/>
                <w:b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7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50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i w:val="0"/>
                <w:sz w:val="24"/>
                <w:szCs w:val="24"/>
              </w:rPr>
              <w:t xml:space="preserve">44.03.02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pStyle w:val="841"/>
              <w:ind w:left="0" w:right="0" w:firstLine="0"/>
              <w:spacing w:before="0" w:beforeAutospacing="0" w:after="0" w:afterAutospacing="0"/>
              <w:rPr>
                <w:rFonts w:ascii="Arial Narrow" w:hAnsi="Arial Narrow" w:cs="Arial Narrow"/>
                <w:i w:val="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Психолого-педагогическое образование: профиль «Педагог-психолог»</w:t>
            </w:r>
            <w:r>
              <w:rPr>
                <w:rFonts w:ascii="Arial Narrow" w:hAnsi="Arial Narrow" w:cs="Arial Narrow"/>
                <w:i w:val="0"/>
                <w:sz w:val="24"/>
                <w:szCs w:val="24"/>
              </w:rPr>
            </w:r>
            <w:r>
              <w:rPr>
                <w:rFonts w:ascii="Arial Narrow" w:hAnsi="Arial Narrow" w:cs="Arial Narrow"/>
                <w:i w:val="0"/>
                <w:sz w:val="24"/>
                <w:szCs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6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</w:tc>
        <w:tc>
          <w:tcPr>
            <w:tcW w:w="650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ГОРОДОВИКОВСКОГО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1020800507683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0801904294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080101001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Отдел образования Администрации Яшалтинского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1030800509222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0812900164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081201001</w:t>
            </w:r>
            <w:r/>
          </w:p>
        </w:tc>
      </w:tr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44.03.03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pStyle w:val="841"/>
              <w:ind w:left="0" w:right="0" w:firstLine="0"/>
              <w:spacing w:before="0" w:beforeAutospacing="0" w:after="0" w:afterAutospacing="0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Специальное (дефектологическое) образование: профиль «Педагог-дефектолог»</w:t>
            </w:r>
            <w:r>
              <w:rPr>
                <w:rFonts w:ascii="Arial Narrow" w:hAnsi="Arial Narrow" w:cs="Arial Narrow"/>
                <w:sz w:val="24"/>
              </w:rPr>
            </w:r>
            <w:r>
              <w:rPr>
                <w:rFonts w:ascii="Arial Narrow" w:hAnsi="Arial Narrow" w:cs="Arial Narrow"/>
                <w:sz w:val="24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7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</w:tc>
        <w:tc>
          <w:tcPr>
            <w:tcW w:w="650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ГОРОДОВИКОВСКОГО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1020800507683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0801904294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080101001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Целинного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1020800670109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0809900502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080901001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center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i w:val="0"/>
                <w:sz w:val="24"/>
                <w:szCs w:val="24"/>
              </w:rPr>
              <w:t xml:space="preserve">45.03.01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eastAsia="Arial Narrow" w:cs="Arial Narrow"/>
                <w:bCs/>
                <w:sz w:val="24"/>
                <w:szCs w:val="24"/>
              </w:rPr>
              <w:t xml:space="preserve">Филология: профиль "Отечественная филология (калмыцкий язык и литература, русский язык и литература)"</w:t>
            </w:r>
            <w:r>
              <w:rPr>
                <w:rFonts w:ascii="Arial Narrow" w:hAnsi="Arial Narrow" w:cs="Arial Narrow"/>
                <w:bCs/>
              </w:rPr>
            </w:r>
            <w:r>
              <w:rPr>
                <w:rFonts w:ascii="Arial Narrow" w:hAnsi="Arial Narrow" w:cs="Arial Narrow"/>
                <w:bCs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3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</w:r>
          </w:p>
        </w:tc>
        <w:tc>
          <w:tcPr>
            <w:tcW w:w="650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Управления образованием администрации Яшкульского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1020800733800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0813900390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081301001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ГОРОДОВИКОВСКОГО РАЙОННОГО МУНИЦИПАЛЬНОГО ОБРАЗОВАНИЯ РЕСПУБЛИКИ КАЛМЫКИЯ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1020800507683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0801904294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080101001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УПРАВЛЕНИЕ ОБРАЗОВАНИЯ АДМИНИСТРАЦИИ ГОРОДА ЭЛИСТЫ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ОГРН: 1020800769461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ИНН: 0814098556</w:t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5f6f8" w:fill="f5f6f8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f4c81"/>
                <w:sz w:val="18"/>
              </w:rPr>
              <w:t xml:space="preserve">КПП: 081601001</w:t>
            </w:r>
            <w:r/>
          </w:p>
        </w:tc>
      </w:tr>
      <w:tr>
        <w:tblPrEx/>
        <w:trPr/>
        <w:tc>
          <w:tcPr>
            <w:tcW w:w="1267" w:type="dxa"/>
            <w:textDirection w:val="lrTb"/>
            <w:noWrap w:val="false"/>
          </w:tcPr>
          <w:p>
            <w:pPr>
              <w:pStyle w:val="839"/>
              <w:ind w:left="0" w:right="0" w:firstLine="0"/>
              <w:jc w:val="both"/>
              <w:keepLines/>
              <w:keepNext/>
              <w:spacing w:before="0" w:line="240" w:lineRule="auto"/>
              <w:shd w:val="clear" w:color="auto" w:fill="auto"/>
              <w:tabs>
                <w:tab w:val="left" w:pos="14506" w:leader="underscore"/>
              </w:tabs>
              <w:rPr>
                <w:rFonts w:ascii="Arial Narrow" w:hAnsi="Arial Narrow" w:cs="Arial Narrow"/>
                <w:i w:val="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i w:val="0"/>
                <w:sz w:val="24"/>
                <w:szCs w:val="24"/>
              </w:rPr>
            </w:r>
            <w:r>
              <w:rPr>
                <w:rFonts w:ascii="Arial Narrow" w:hAnsi="Arial Narrow" w:cs="Arial Narrow"/>
                <w:i w:val="0"/>
                <w:sz w:val="24"/>
                <w:szCs w:val="24"/>
              </w:rPr>
            </w:r>
            <w:r>
              <w:rPr>
                <w:rFonts w:ascii="Arial Narrow" w:hAnsi="Arial Narrow" w:cs="Arial Narrow"/>
                <w:i w:val="0"/>
                <w:sz w:val="24"/>
                <w:szCs w:val="24"/>
              </w:rPr>
            </w:r>
          </w:p>
        </w:tc>
        <w:tc>
          <w:tcPr>
            <w:tcW w:w="5686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b/>
                <w:sz w:val="24"/>
                <w:szCs w:val="24"/>
              </w:rPr>
              <w:t xml:space="preserve">ВСЕГО</w: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Arial Narrow" w:hAnsi="Arial Narrow" w:eastAsia="Arial Narrow" w:cs="Arial Narrow"/>
                <w:b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Arial Narrow" w:hAnsi="Arial Narrow" w:cs="Arial Narrow"/>
                <w:b/>
              </w:rPr>
            </w:r>
            <w:r>
              <w:rPr>
                <w:rFonts w:ascii="Arial Narrow" w:hAnsi="Arial Narrow" w:cs="Arial Narrow"/>
                <w:b/>
              </w:rPr>
            </w:r>
          </w:p>
        </w:tc>
        <w:tc>
          <w:tcPr>
            <w:tcW w:w="1203" w:type="dxa"/>
            <w:textDirection w:val="lrTb"/>
            <w:noWrap w:val="false"/>
          </w:tcPr>
          <w:p>
            <w:r/>
            <w:r/>
          </w:p>
        </w:tc>
        <w:tc>
          <w:tcPr>
            <w:tcW w:w="6506" w:type="dxa"/>
            <w:textDirection w:val="lrTb"/>
            <w:noWrap w:val="false"/>
          </w:tcPr>
          <w:p>
            <w:pPr>
              <w:rPr>
                <w:rFonts w:ascii="Arial Narrow" w:hAnsi="Arial Narrow" w:eastAsia="Arial Narrow" w:cs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eastAsia="Arial Narrow" w:cs="Arial Narrow"/>
                <w:b/>
                <w:bCs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b/>
                <w:bCs/>
                <w:sz w:val="24"/>
                <w:szCs w:val="24"/>
                <w:lang w:val="en-US"/>
              </w:rPr>
            </w:r>
            <w:r>
              <w:rPr>
                <w:rFonts w:ascii="Arial Narrow" w:hAnsi="Arial Narrow" w:eastAsia="Arial Narrow" w:cs="Arial Narrow"/>
                <w:b/>
                <w:bCs/>
                <w:sz w:val="24"/>
                <w:szCs w:val="24"/>
                <w:lang w:val="en-US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formattext"/>
    <w:basedOn w:val="83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9" w:customStyle="1">
    <w:name w:val="Заголовок №5"/>
    <w:basedOn w:val="832"/>
    <w:pPr>
      <w:contextualSpacing w:val="0"/>
      <w:ind w:left="0" w:right="0" w:firstLine="0"/>
      <w:jc w:val="left"/>
      <w:keepLines w:val="0"/>
      <w:keepNext w:val="0"/>
      <w:pageBreakBefore w:val="0"/>
      <w:spacing w:before="180" w:beforeAutospacing="0" w:after="0" w:afterAutospacing="0" w:line="461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Times New Roman" w:hAnsi="Times New Roman" w:cs="Times New Roman" w:eastAsiaTheme="minorHAnsi"/>
      <w:b w:val="0"/>
      <w:bCs w:val="0"/>
      <w:i/>
      <w:iCs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40" w:customStyle="1">
    <w:name w:val="Заголовок №5 + Не курсив1"/>
    <w:rPr>
      <w:i/>
      <w:iCs/>
      <w:spacing w:val="0"/>
      <w:sz w:val="19"/>
      <w:szCs w:val="19"/>
      <w:u w:val="single"/>
      <w:shd w:val="clear" w:color="auto" w:fill="ffffff"/>
    </w:rPr>
  </w:style>
  <w:style w:type="paragraph" w:styleId="841" w:customStyle="1">
    <w:name w:val="Normal (Web)"/>
    <w:basedOn w:val="83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zamsek</cp:lastModifiedBy>
  <cp:revision>6</cp:revision>
  <dcterms:modified xsi:type="dcterms:W3CDTF">2025-06-03T16:31:09Z</dcterms:modified>
</cp:coreProperties>
</file>